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Times New Roman" w:hAnsi="Times New Roman" w:eastAsia="黑体" w:cs="黑体"/>
          <w:sz w:val="32"/>
          <w:szCs w:val="32"/>
        </w:rPr>
        <w:t>5</w:t>
      </w:r>
    </w:p>
    <w:p>
      <w:pPr>
        <w:spacing w:line="6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6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ascii="Times New Roman" w:hAnsi="Times New Roman" w:eastAsia="方正小标宋简体" w:cs="方正小标宋简体"/>
          <w:sz w:val="44"/>
          <w:szCs w:val="44"/>
        </w:rPr>
        <w:t>20</w:t>
      </w:r>
      <w:r>
        <w:rPr>
          <w:rFonts w:hint="eastAsia" w:ascii="Times New Roman" w:hAnsi="Times New Roman" w:eastAsia="方正小标宋简体" w:cs="方正小标宋简体"/>
          <w:sz w:val="44"/>
          <w:szCs w:val="44"/>
        </w:rPr>
        <w:t>26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>年人工智能赋能教育创新应用大赛</w:t>
      </w:r>
    </w:p>
    <w:p>
      <w:pPr>
        <w:spacing w:line="6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选拔赛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>评审标准</w:t>
      </w:r>
    </w:p>
    <w:p>
      <w:pPr>
        <w:spacing w:line="6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numPr>
          <w:ilvl w:val="0"/>
          <w:numId w:val="1"/>
        </w:numPr>
        <w:spacing w:line="560" w:lineRule="exact"/>
        <w:ind w:firstLine="600" w:firstLineChars="200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教育智能体创新与应用赛道作品评审标准</w:t>
      </w:r>
    </w:p>
    <w:tbl>
      <w:tblPr>
        <w:tblStyle w:val="3"/>
        <w:tblW w:w="77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3"/>
        <w:gridCol w:w="4498"/>
        <w:gridCol w:w="13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883" w:type="dxa"/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F1115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F1115"/>
                <w:kern w:val="0"/>
                <w:sz w:val="24"/>
                <w:lang w:bidi="ar"/>
              </w:rPr>
              <w:t>评价维度</w:t>
            </w:r>
          </w:p>
        </w:tc>
        <w:tc>
          <w:tcPr>
            <w:tcW w:w="4498" w:type="dxa"/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F1115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F1115"/>
                <w:kern w:val="0"/>
                <w:sz w:val="24"/>
                <w:lang w:bidi="ar"/>
              </w:rPr>
              <w:t>简要说明</w:t>
            </w:r>
          </w:p>
        </w:tc>
        <w:tc>
          <w:tcPr>
            <w:tcW w:w="1323" w:type="dxa"/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F1115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F1115"/>
                <w:kern w:val="0"/>
                <w:sz w:val="24"/>
                <w:lang w:bidi="ar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1883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场景应用价值</w:t>
            </w:r>
          </w:p>
        </w:tc>
        <w:tc>
          <w:tcPr>
            <w:tcW w:w="4498" w:type="dxa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聚焦真实教育痛点，目标用户明确，场景描述清晰，具有实际应用价值。</w:t>
            </w:r>
          </w:p>
        </w:tc>
        <w:tc>
          <w:tcPr>
            <w:tcW w:w="1323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  <w:lang w:bidi="ar"/>
              </w:rPr>
              <w:t>20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1883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智能体功能设计</w:t>
            </w:r>
          </w:p>
        </w:tc>
        <w:tc>
          <w:tcPr>
            <w:tcW w:w="4498" w:type="dxa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功能完整，工作流设计合理，核心能力配置有效支撑功能实现。</w:t>
            </w:r>
          </w:p>
        </w:tc>
        <w:tc>
          <w:tcPr>
            <w:tcW w:w="1323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  <w:lang w:bidi="ar"/>
              </w:rPr>
              <w:t>25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1883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交互体验质量</w:t>
            </w:r>
          </w:p>
        </w:tc>
        <w:tc>
          <w:tcPr>
            <w:tcW w:w="4498" w:type="dxa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交互界面友好，对话流畅，操作便捷，用户体验良好。</w:t>
            </w:r>
          </w:p>
        </w:tc>
        <w:tc>
          <w:tcPr>
            <w:tcW w:w="1323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  <w:lang w:bidi="ar"/>
              </w:rPr>
              <w:t>15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1883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技术创新运用</w:t>
            </w:r>
          </w:p>
        </w:tc>
        <w:tc>
          <w:tcPr>
            <w:tcW w:w="4498" w:type="dxa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创造性运用平台能力，在方法或功能上有独特创新。</w:t>
            </w:r>
          </w:p>
        </w:tc>
        <w:tc>
          <w:tcPr>
            <w:tcW w:w="1323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  <w:lang w:bidi="ar"/>
              </w:rPr>
              <w:t>15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1883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验证效果表现</w:t>
            </w:r>
          </w:p>
        </w:tc>
        <w:tc>
          <w:tcPr>
            <w:tcW w:w="4498" w:type="dxa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演示视频清晰展示核心功能，验证报告翔实，提供测试用例及结果。</w:t>
            </w:r>
          </w:p>
        </w:tc>
        <w:tc>
          <w:tcPr>
            <w:tcW w:w="1323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  <w:lang w:bidi="ar"/>
              </w:rPr>
              <w:t>15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1883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文档规范程度</w:t>
            </w:r>
          </w:p>
        </w:tc>
        <w:tc>
          <w:tcPr>
            <w:tcW w:w="4498" w:type="dxa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提交材料齐全，说明清晰，符合规范要求。</w:t>
            </w:r>
          </w:p>
        </w:tc>
        <w:tc>
          <w:tcPr>
            <w:tcW w:w="1323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  <w:lang w:bidi="ar"/>
              </w:rPr>
              <w:t>10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分</w:t>
            </w:r>
          </w:p>
        </w:tc>
      </w:tr>
    </w:tbl>
    <w:p>
      <w:pPr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br w:type="page"/>
      </w:r>
    </w:p>
    <w:p>
      <w:pPr>
        <w:numPr>
          <w:ilvl w:val="0"/>
          <w:numId w:val="1"/>
        </w:numPr>
        <w:spacing w:line="560" w:lineRule="exact"/>
        <w:ind w:firstLine="600" w:firstLineChars="200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z w:val="30"/>
          <w:szCs w:val="30"/>
        </w:rPr>
        <w:t>教育大模型优化与应用赛道</w:t>
      </w:r>
      <w:r>
        <w:rPr>
          <w:rFonts w:hint="eastAsia" w:ascii="黑体" w:hAnsi="黑体" w:eastAsia="黑体" w:cs="黑体"/>
          <w:sz w:val="30"/>
          <w:szCs w:val="30"/>
        </w:rPr>
        <w:t>作品评审标准</w:t>
      </w:r>
    </w:p>
    <w:tbl>
      <w:tblPr>
        <w:tblStyle w:val="3"/>
        <w:tblW w:w="7731" w:type="dxa"/>
        <w:tblInd w:w="38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2"/>
        <w:gridCol w:w="4429"/>
        <w:gridCol w:w="13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912" w:type="dxa"/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评价维度</w:t>
            </w:r>
          </w:p>
        </w:tc>
        <w:tc>
          <w:tcPr>
            <w:tcW w:w="4429" w:type="dxa"/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简要说明</w:t>
            </w:r>
          </w:p>
        </w:tc>
        <w:tc>
          <w:tcPr>
            <w:tcW w:w="1390" w:type="dxa"/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</w:trPr>
        <w:tc>
          <w:tcPr>
            <w:tcW w:w="1912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场景问题定位</w:t>
            </w:r>
          </w:p>
        </w:tc>
        <w:tc>
          <w:tcPr>
            <w:tcW w:w="4429" w:type="dxa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教育场景界定清晰，对通用大模型缺陷分析深入准确。</w:t>
            </w:r>
          </w:p>
        </w:tc>
        <w:tc>
          <w:tcPr>
            <w:tcW w:w="1390" w:type="dxa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  <w:lang w:bidi="ar"/>
              </w:rPr>
              <w:t>15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</w:trPr>
        <w:tc>
          <w:tcPr>
            <w:tcW w:w="1912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方案技术可行性</w:t>
            </w:r>
          </w:p>
        </w:tc>
        <w:tc>
          <w:tcPr>
            <w:tcW w:w="4429" w:type="dxa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优化技术路径选择合理，数据构建科学，参数设置得当，算力使用合理。</w:t>
            </w:r>
          </w:p>
        </w:tc>
        <w:tc>
          <w:tcPr>
            <w:tcW w:w="1390" w:type="dxa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  <w:lang w:bidi="ar"/>
              </w:rPr>
              <w:t>25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</w:trPr>
        <w:tc>
          <w:tcPr>
            <w:tcW w:w="1912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创新突破程度</w:t>
            </w:r>
          </w:p>
        </w:tc>
        <w:tc>
          <w:tcPr>
            <w:tcW w:w="4429" w:type="dxa"/>
            <w:shd w:val="clear" w:color="auto" w:fill="FFFFFF"/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在优化方法、数据构建、评价体系或应用范式等方面有显著创新。</w:t>
            </w:r>
          </w:p>
        </w:tc>
        <w:tc>
          <w:tcPr>
            <w:tcW w:w="1390" w:type="dxa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  <w:lang w:bidi="ar"/>
              </w:rPr>
              <w:t>15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</w:trPr>
        <w:tc>
          <w:tcPr>
            <w:tcW w:w="1912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性能提升幅度</w:t>
            </w:r>
          </w:p>
        </w:tc>
        <w:tc>
          <w:tcPr>
            <w:tcW w:w="4429" w:type="dxa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提供优化前后量化对比数据，指标明确，提升效果显著。</w:t>
            </w:r>
          </w:p>
        </w:tc>
        <w:tc>
          <w:tcPr>
            <w:tcW w:w="1390" w:type="dxa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  <w:lang w:bidi="ar"/>
              </w:rPr>
              <w:t>20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</w:trPr>
        <w:tc>
          <w:tcPr>
            <w:tcW w:w="1912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案例直观展示</w:t>
            </w:r>
          </w:p>
        </w:tc>
        <w:tc>
          <w:tcPr>
            <w:tcW w:w="4429" w:type="dxa"/>
            <w:shd w:val="clear" w:color="auto" w:fill="FFFFFF"/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提供不少于</w:t>
            </w: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  <w:lang w:bidi="ar"/>
              </w:rPr>
              <w:t>3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u w:val="none"/>
                <w:lang w:bidi="ar"/>
              </w:rPr>
              <w:t>组典型输入案例，直观展示输出差异及改进点。</w:t>
            </w:r>
          </w:p>
        </w:tc>
        <w:tc>
          <w:tcPr>
            <w:tcW w:w="1390" w:type="dxa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  <w:lang w:bidi="ar"/>
              </w:rPr>
              <w:t>15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</w:trPr>
        <w:tc>
          <w:tcPr>
            <w:tcW w:w="1912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应用落地潜力</w:t>
            </w:r>
          </w:p>
        </w:tc>
        <w:tc>
          <w:tcPr>
            <w:tcW w:w="4429" w:type="dxa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提供可访问的演示接口或详细脚本，应用构想清晰可行，具有推广价值。</w:t>
            </w:r>
          </w:p>
        </w:tc>
        <w:tc>
          <w:tcPr>
            <w:tcW w:w="1390" w:type="dxa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kern w:val="0"/>
                <w:sz w:val="24"/>
                <w:lang w:bidi="ar"/>
              </w:rPr>
              <w:t>10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分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9ADC982"/>
    <w:multiLevelType w:val="singleLevel"/>
    <w:tmpl w:val="99ADC98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DC5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5">
    <w:name w:val="page number"/>
    <w:qFormat/>
    <w:uiPriority w:val="0"/>
  </w:style>
  <w:style w:type="character" w:customStyle="1" w:styleId="6">
    <w:name w:val="font31"/>
    <w:qFormat/>
    <w:uiPriority w:val="0"/>
    <w:rPr>
      <w:rFonts w:hint="eastAsia" w:ascii="宋体" w:hAnsi="宋体" w:eastAsia="宋体" w:cs="宋体"/>
      <w:color w:val="0F1115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2026-05-15T07:56:36Z</dcterms:created>
  <dc:creator>33851</dc:creator>
  <cp:lastModifiedBy>沉。</cp:lastModifiedBy>
  <dcterms:modified xsi:type="dcterms:W3CDTF">2026-05-15T07:56:47Z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</Properties>
</file>